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附件</w:t>
      </w: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1</w:t>
      </w:r>
    </w:p>
    <w:p>
      <w:pPr>
        <w:widowControl/>
        <w:jc w:val="center"/>
        <w:rPr>
          <w:sz w:val="28"/>
          <w:szCs w:val="28"/>
        </w:rPr>
      </w:pPr>
      <w:bookmarkStart w:id="0" w:name="_GoBack"/>
      <w: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  <w:t>课程选题参考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6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分类</w:t>
            </w: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选题方向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教育治理与学校管理</w:t>
            </w: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教育行政管理与中小学（幼儿园）管理的探索创新、成功经验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督导制度建设</w:t>
            </w: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教育督导制度建设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督学队伍建设</w:t>
            </w: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督学队伍建设、管理经验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督学培训理论实践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督导专家工作室建设理论与实践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依法督导</w:t>
            </w: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教育督导政策法规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教育督导理论</w:t>
            </w: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教育督导理论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督政实践</w:t>
            </w: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地方政府履职评价方案制定及实施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省级人民政府对市、县级人民政府履行教育职责的评价案例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办学标准、经费投入、教师编制待遇、教育扶贫、重大教育突发事件的评价方法与案例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督学实践</w:t>
            </w: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学校落实立德树人情况督导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学校自我督导体系建设方法与案例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各学段督导的政策、标准、规程和方法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学校安全及其他突发事件督导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评估监测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教育评估监测工作规程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教育评估监测机构认证办法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各学段评估监测实践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教育督导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创新与研究</w:t>
            </w: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督导制度创新、方式创新相关理论实践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教育督导研究方法与课题研究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教育督导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信息化</w:t>
            </w: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智能化督导体系建设理论实践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教育督导信息化管理平台建设案例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81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教育督导信息化工具及应用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F6712"/>
    <w:rsid w:val="38FF6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after="100" w:afterLines="100" w:line="360" w:lineRule="auto"/>
      <w:jc w:val="left"/>
      <w:outlineLvl w:val="0"/>
    </w:pPr>
    <w:rPr>
      <w:rFonts w:eastAsia="黑体" w:cs="Arial"/>
      <w:bCs/>
      <w:kern w:val="44"/>
      <w:sz w:val="28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2020-08-11T07:11:00Z</dcterms:created>
  <dc:creator>孙赛</dc:creator>
  <cp:lastModifiedBy>孙赛</cp:lastModifiedBy>
  <dcterms:modified xsi:type="dcterms:W3CDTF">2020-08-11T07:12:21Z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